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C40C">
      <w:pPr>
        <w:spacing w:before="480" w:after="480" w:line="288" w:lineRule="auto"/>
        <w:ind w:left="0"/>
      </w:pPr>
      <w:bookmarkStart w:id="31" w:name="_GoBack"/>
      <w:bookmarkEnd w:id="31"/>
      <w:r>
        <w:rPr>
          <w:rFonts w:ascii="Arial" w:hAnsi="Arial" w:eastAsia="等线" w:cs="Arial"/>
          <w:b/>
          <w:sz w:val="52"/>
        </w:rPr>
        <w:t>郎特科技12W高光效灯管替代30W传统LED灯管（4000支）合同能源管理EMC方案（含16元/支成本测算）</w:t>
      </w:r>
    </w:p>
    <w:p w14:paraId="6900C410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一、项目概述</w:t>
      </w:r>
      <w:bookmarkEnd w:id="0"/>
    </w:p>
    <w:p w14:paraId="55C281A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项目背景</w:t>
      </w:r>
      <w:bookmarkEnd w:id="1"/>
    </w:p>
    <w:p w14:paraId="21EE1F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甲方现有照明系统采用30W普通LED灯管，普遍存在功率大、能耗高、光效低、光衰快、频闪明显、故障率高、年运维成本高等问题。传统灯具电光转换效率低，长期空载损耗、发热损耗大，造成企业电费浪费严重。</w:t>
      </w:r>
    </w:p>
    <w:p w14:paraId="4FDAEC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为实现降本增效、绿色低碳改造，本项目采用</w:t>
      </w:r>
      <w:r>
        <w:rPr>
          <w:rFonts w:ascii="Arial" w:hAnsi="Arial" w:eastAsia="等线" w:cs="Arial"/>
          <w:b/>
          <w:sz w:val="22"/>
        </w:rPr>
        <w:t>合同能源管理（EMC节能效益分享模式）</w:t>
      </w:r>
      <w:r>
        <w:rPr>
          <w:rFonts w:ascii="Arial" w:hAnsi="Arial" w:eastAsia="等线" w:cs="Arial"/>
          <w:sz w:val="22"/>
        </w:rPr>
        <w:t>，由乙方全额投资、全程施工、终身运维，将原有30W传统LED灯管</w:t>
      </w:r>
      <w:r>
        <w:rPr>
          <w:rFonts w:ascii="Arial" w:hAnsi="Arial" w:eastAsia="等线" w:cs="Arial"/>
          <w:b/>
          <w:sz w:val="22"/>
        </w:rPr>
        <w:t>一对一无损替换为郎特科技12W高光效LED灯管</w:t>
      </w:r>
      <w:r>
        <w:rPr>
          <w:rFonts w:ascii="Arial" w:hAnsi="Arial" w:eastAsia="等线" w:cs="Arial"/>
          <w:sz w:val="22"/>
        </w:rPr>
        <w:t>。甲方零投入、零风险、零维护，共享节能收益，合同期满设备无偿归属甲方。</w:t>
      </w:r>
    </w:p>
    <w:p w14:paraId="3B88D7C0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项目核心参数</w:t>
      </w:r>
      <w:bookmarkEnd w:id="2"/>
    </w:p>
    <w:p w14:paraId="1909AF8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改造数量：</w:t>
      </w:r>
      <w:r>
        <w:rPr>
          <w:rFonts w:ascii="Arial" w:hAnsi="Arial" w:eastAsia="等线" w:cs="Arial"/>
          <w:b/>
          <w:sz w:val="22"/>
        </w:rPr>
        <w:t>4000支</w:t>
      </w:r>
    </w:p>
    <w:p w14:paraId="3C08C166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改造产品：郎特科技12W高光效无频闪LED灯管（单价：</w:t>
      </w:r>
      <w:r>
        <w:rPr>
          <w:rFonts w:ascii="Arial" w:hAnsi="Arial" w:eastAsia="等线" w:cs="Arial"/>
          <w:b/>
          <w:sz w:val="22"/>
        </w:rPr>
        <w:t>16元/支</w:t>
      </w:r>
      <w:r>
        <w:rPr>
          <w:rFonts w:ascii="Arial" w:hAnsi="Arial" w:eastAsia="等线" w:cs="Arial"/>
          <w:sz w:val="22"/>
        </w:rPr>
        <w:t>）</w:t>
      </w:r>
    </w:p>
    <w:p w14:paraId="4DADA2A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替换对象：原有30W传统LED灯管</w:t>
      </w:r>
    </w:p>
    <w:p w14:paraId="67E5EE6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单支节电功率：18W</w:t>
      </w:r>
    </w:p>
    <w:p w14:paraId="1B29667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综合节能率：≥60%</w:t>
      </w:r>
    </w:p>
    <w:p w14:paraId="5BAD1FE8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合作模式：节能效益分享型EMC（乙方全额投资）</w:t>
      </w:r>
    </w:p>
    <w:p w14:paraId="1E9397B4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质保周期：整机5年原厂质保（与EMC合作周期匹配）</w:t>
      </w:r>
    </w:p>
    <w:p w14:paraId="0502B179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二、产品优势与改造价值</w:t>
      </w:r>
      <w:bookmarkEnd w:id="3"/>
    </w:p>
    <w:p w14:paraId="75FB69F9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新旧灯具参数对比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0C5E6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094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对比项目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71A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原有30W传统LED灯管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135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郎特12W高光效灯管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3AF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改造提升</w:t>
            </w:r>
          </w:p>
        </w:tc>
      </w:tr>
      <w:tr w14:paraId="329EB7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2AF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额定功率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658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30W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BC8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12W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1FE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单支节电18W</w:t>
            </w:r>
          </w:p>
        </w:tc>
      </w:tr>
      <w:tr w14:paraId="78F715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D81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光效表现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740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普通光效、光衰快、亮度偏暗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979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高光效、高透光、照度均匀、无光衰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BC1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整体照度提升10%–20%</w:t>
            </w:r>
          </w:p>
        </w:tc>
      </w:tr>
      <w:tr w14:paraId="62B8BB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EE5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频闪/眩光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DF6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低频频闪、易眼疲劳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A9B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无频闪、防眩光、护眼照明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A82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作业环境大幅优化</w:t>
            </w:r>
          </w:p>
        </w:tc>
      </w:tr>
      <w:tr w14:paraId="61555A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FCE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使用寿命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931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1.5–2万小时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C7E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≥5万小时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64B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寿命提升2倍以上</w:t>
            </w:r>
          </w:p>
        </w:tc>
      </w:tr>
      <w:tr w14:paraId="4043F6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4DE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287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高、易烧坏、黑屏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D52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极低故障率、稳定耐用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EE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大幅减少运维成本</w:t>
            </w:r>
          </w:p>
        </w:tc>
      </w:tr>
    </w:tbl>
    <w:p w14:paraId="619DE82A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施工改造优势</w:t>
      </w:r>
      <w:bookmarkEnd w:id="5"/>
    </w:p>
    <w:p w14:paraId="5AAC62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本次改造为</w:t>
      </w:r>
      <w:r>
        <w:rPr>
          <w:rFonts w:ascii="Arial" w:hAnsi="Arial" w:eastAsia="等线" w:cs="Arial"/>
          <w:b/>
          <w:sz w:val="22"/>
        </w:rPr>
        <w:t>一对一直接替换</w:t>
      </w:r>
      <w:r>
        <w:rPr>
          <w:rFonts w:ascii="Arial" w:hAnsi="Arial" w:eastAsia="等线" w:cs="Arial"/>
          <w:sz w:val="22"/>
        </w:rPr>
        <w:t>，无需改动原有灯座、线路、开关、配电系统，施工快速、零破坏、不影响甲方正常生产办公。全程断电规范施工，完工逐支通电检测、照度核验，确保一次性验收合格。</w:t>
      </w:r>
    </w:p>
    <w:p w14:paraId="106E4214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三、项目投资成本核算（真实落地成本）</w:t>
      </w:r>
      <w:bookmarkEnd w:id="6"/>
    </w:p>
    <w:p w14:paraId="61E4F0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基于灯管单价16元/支，核算项目硬件总成本，不含甲方任何费用，全部由乙方承担。</w:t>
      </w:r>
    </w:p>
    <w:p w14:paraId="7BA3B5F5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3.1 硬件设备投资</w:t>
      </w:r>
      <w:bookmarkEnd w:id="7"/>
    </w:p>
    <w:p w14:paraId="070D72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设备总价=4000支×16元/支=</w:t>
      </w:r>
      <w:r>
        <w:rPr>
          <w:rFonts w:ascii="Arial" w:hAnsi="Arial" w:eastAsia="等线" w:cs="Arial"/>
          <w:b/>
          <w:sz w:val="22"/>
        </w:rPr>
        <w:t>64000元</w:t>
      </w:r>
    </w:p>
    <w:p w14:paraId="4CEEF898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3.2 项目综合投资（含施工、辅材、运维）</w:t>
      </w:r>
      <w:bookmarkEnd w:id="8"/>
    </w:p>
    <w:p w14:paraId="224826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EMC项目除设备成本外，还包含运输、拆装施工、电工人工、辅材、5年质保巡检、故障更换、售后运维等费用。行业常规综合运维及施工成本按设备价30%测算：</w:t>
      </w:r>
    </w:p>
    <w:p w14:paraId="50A202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综合施工运维成本=64000元×30%=19200元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项目总投资合计：83200元</w:t>
      </w:r>
    </w:p>
    <w:p w14:paraId="06EC4DBE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四、节能收益精准测算</w:t>
      </w:r>
      <w:bookmarkEnd w:id="9"/>
    </w:p>
    <w:p w14:paraId="33D2720D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4.1 测算基准参数</w:t>
      </w:r>
      <w:bookmarkEnd w:id="10"/>
    </w:p>
    <w:p w14:paraId="2130E717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照明时长：9小时/天（办公/工厂通用标准）</w:t>
      </w:r>
    </w:p>
    <w:p w14:paraId="040C81DB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年运行天数：365天</w:t>
      </w:r>
    </w:p>
    <w:p w14:paraId="1590C7BA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工业/商业电价：0.8元/度（可按甲方实际电价微调）</w:t>
      </w:r>
    </w:p>
    <w:p w14:paraId="42E93C63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节电差额：0.018KW/支</w:t>
      </w:r>
    </w:p>
    <w:p w14:paraId="4258A4C1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4.2 年度耗电量核算</w:t>
      </w:r>
      <w:bookmarkEnd w:id="11"/>
    </w:p>
    <w:p w14:paraId="04F456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改造前年总耗电量：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0.03KW×9h×365d×4000支=</w:t>
      </w:r>
      <w:r>
        <w:rPr>
          <w:rFonts w:ascii="Arial" w:hAnsi="Arial" w:eastAsia="等线" w:cs="Arial"/>
          <w:b/>
          <w:sz w:val="22"/>
        </w:rPr>
        <w:t>394200度/年</w:t>
      </w:r>
    </w:p>
    <w:p w14:paraId="329C90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改造后年总耗电量：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0.012KW×9h×365d×4000支=</w:t>
      </w:r>
      <w:r>
        <w:rPr>
          <w:rFonts w:ascii="Arial" w:hAnsi="Arial" w:eastAsia="等线" w:cs="Arial"/>
          <w:b/>
          <w:sz w:val="22"/>
        </w:rPr>
        <w:t>157680度/年</w:t>
      </w:r>
    </w:p>
    <w:p w14:paraId="033CF904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4.3 节电量与节能收益</w:t>
      </w:r>
      <w:bookmarkEnd w:id="12"/>
    </w:p>
    <w:p w14:paraId="368F3F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年节约电量=394200−157680=</w:t>
      </w:r>
      <w:r>
        <w:rPr>
          <w:rFonts w:ascii="Arial" w:hAnsi="Arial" w:eastAsia="等线" w:cs="Arial"/>
          <w:b/>
          <w:sz w:val="22"/>
        </w:rPr>
        <w:t>236520度/年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年均节能率=</w:t>
      </w:r>
      <w:r>
        <w:rPr>
          <w:rFonts w:ascii="Arial" w:hAnsi="Arial" w:eastAsia="等线" w:cs="Arial"/>
          <w:b/>
          <w:sz w:val="22"/>
        </w:rPr>
        <w:t>60%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年均节约电费：236520×0.8=189216元/年</w:t>
      </w:r>
    </w:p>
    <w:p w14:paraId="2836FCB9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4.4 投资回本周期测算（核心EMC数据）</w:t>
      </w:r>
      <w:bookmarkEnd w:id="13"/>
    </w:p>
    <w:p w14:paraId="50BA02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项目总投资83200元，年节能收益189216元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静态回本周期：约5.3个月</w:t>
      </w:r>
    </w:p>
    <w:p w14:paraId="0A6298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本项目投资极低、节电收益极高，回本速度快、项目风险极低，属于优质稳收益照明EMC项目。</w:t>
      </w:r>
    </w:p>
    <w:p w14:paraId="1FFD09CC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4.5 隐性收益</w:t>
      </w:r>
      <w:bookmarkEnd w:id="14"/>
    </w:p>
    <w:p w14:paraId="41A083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改造后灯具超长寿命、低故障，每年为甲方节省维修、换灯、人工运维成本2–5万元；同时灯具低发热，降低空调制冷负荷，进一步实现综合节能；绿色改造可助力企业完成节能减排考核、提升企业低碳形象。</w:t>
      </w:r>
    </w:p>
    <w:p w14:paraId="7C581C6A">
      <w:pPr>
        <w:spacing w:before="380" w:after="140" w:line="288" w:lineRule="auto"/>
        <w:ind w:left="0"/>
        <w:jc w:val="left"/>
        <w:outlineLvl w:val="0"/>
      </w:pPr>
      <w:bookmarkStart w:id="15" w:name="heading_15"/>
      <w:r>
        <w:rPr>
          <w:rFonts w:ascii="Arial" w:hAnsi="Arial" w:eastAsia="等线" w:cs="Arial"/>
          <w:b/>
          <w:sz w:val="36"/>
        </w:rPr>
        <w:t>五、EMC合作模式与收益分成方案</w:t>
      </w:r>
      <w:bookmarkEnd w:id="15"/>
    </w:p>
    <w:p w14:paraId="70107D4C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5.1 合作模式说明</w:t>
      </w:r>
      <w:bookmarkEnd w:id="16"/>
    </w:p>
    <w:p w14:paraId="7064C0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本项目采用</w:t>
      </w:r>
      <w:r>
        <w:rPr>
          <w:rFonts w:ascii="Arial" w:hAnsi="Arial" w:eastAsia="等线" w:cs="Arial"/>
          <w:b/>
          <w:sz w:val="22"/>
        </w:rPr>
        <w:t>节能效益分享型EMC模式</w:t>
      </w:r>
      <w:r>
        <w:rPr>
          <w:rFonts w:ascii="Arial" w:hAnsi="Arial" w:eastAsia="等线" w:cs="Arial"/>
          <w:sz w:val="22"/>
        </w:rPr>
        <w:t>，乙方承担全部设备、施工、运输、运维、质保成本，甲方零投资、零费用、零风险。合同期内双方按比例分享节电收益，合同期满全部灯具设备无偿归甲方所有，后续100%节电收益归甲方。</w:t>
      </w:r>
    </w:p>
    <w:p w14:paraId="1CC762AD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5.2 合作期限</w:t>
      </w:r>
      <w:bookmarkEnd w:id="17"/>
    </w:p>
    <w:p w14:paraId="40F588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合作周期：</w:t>
      </w:r>
      <w:r>
        <w:rPr>
          <w:rFonts w:ascii="Arial" w:hAnsi="Arial" w:eastAsia="等线" w:cs="Arial"/>
          <w:b/>
          <w:sz w:val="22"/>
        </w:rPr>
        <w:t>5年（60个月）</w:t>
      </w:r>
      <w:r>
        <w:rPr>
          <w:rFonts w:ascii="Arial" w:hAnsi="Arial" w:eastAsia="等线" w:cs="Arial"/>
          <w:sz w:val="22"/>
        </w:rPr>
        <w:t>，与灯具5年原厂质保完全同步，全程保障设备稳定运行。</w:t>
      </w:r>
    </w:p>
    <w:p w14:paraId="0362CEEA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5.3 最优分成比例（适配本项目低成本高收益特性）</w:t>
      </w:r>
      <w:bookmarkEnd w:id="18"/>
    </w:p>
    <w:p w14:paraId="1C065E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结合项目短回本、高收益特点，制定双方共赢的合理分成方案：</w:t>
      </w:r>
    </w:p>
    <w:p w14:paraId="175CA73C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第1–2年（快速回本阶段）</w:t>
      </w:r>
      <w:r>
        <w:rPr>
          <w:rFonts w:ascii="Arial" w:hAnsi="Arial" w:eastAsia="等线" w:cs="Arial"/>
          <w:sz w:val="22"/>
        </w:rPr>
        <w:t>：乙方70%、甲方30%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甲方年纯收益：189216×30%≈5.68万元</w:t>
      </w:r>
    </w:p>
    <w:p w14:paraId="51D19134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第3–5年（高让利阶段）</w:t>
      </w:r>
      <w:r>
        <w:rPr>
          <w:rFonts w:ascii="Arial" w:hAnsi="Arial" w:eastAsia="等线" w:cs="Arial"/>
          <w:sz w:val="22"/>
        </w:rPr>
        <w:t>：乙方50%、甲方50%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甲方年纯收益：189216×50%≈9.46万元</w:t>
      </w:r>
    </w:p>
    <w:p w14:paraId="0B07C5D6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5.4 五年总收益核算</w:t>
      </w:r>
      <w:bookmarkEnd w:id="19"/>
    </w:p>
    <w:p w14:paraId="32391C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甲方五年累计节能收益：5.68×2 + 9.46×3 = </w:t>
      </w:r>
      <w:r>
        <w:rPr>
          <w:rFonts w:ascii="Arial" w:hAnsi="Arial" w:eastAsia="等线" w:cs="Arial"/>
          <w:b/>
          <w:sz w:val="22"/>
        </w:rPr>
        <w:t>39.74万元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乙方五年分成收益：总节电收益94.6万元−甲方收益39.74万≈54.86万元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乙方扣除投资8.32万，</w:t>
      </w:r>
      <w:r>
        <w:rPr>
          <w:rFonts w:ascii="Arial" w:hAnsi="Arial" w:eastAsia="等线" w:cs="Arial"/>
          <w:b/>
          <w:sz w:val="22"/>
        </w:rPr>
        <w:t>项目五年纯利润约46.54万元</w:t>
      </w:r>
      <w:r>
        <w:rPr>
          <w:rFonts w:ascii="Arial" w:hAnsi="Arial" w:eastAsia="等线" w:cs="Arial"/>
          <w:sz w:val="22"/>
        </w:rPr>
        <w:t>，双方互利共赢。</w:t>
      </w:r>
    </w:p>
    <w:p w14:paraId="63A7EB58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5.5 结算方式</w:t>
      </w:r>
      <w:bookmarkEnd w:id="20"/>
    </w:p>
    <w:p w14:paraId="500154EB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结算周期：按月/季度结算（双方协商确定）</w:t>
      </w:r>
    </w:p>
    <w:p w14:paraId="71223ECE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数据核定：电表实测+理论核算双向校验，数据透明可查，双方签字确认</w:t>
      </w:r>
    </w:p>
    <w:p w14:paraId="353419F0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支付方式：对账无误后甲方按期支付乙方分成款项</w:t>
      </w:r>
    </w:p>
    <w:p w14:paraId="0498FE39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5.6 合同期满权益</w:t>
      </w:r>
      <w:bookmarkEnd w:id="21"/>
    </w:p>
    <w:p w14:paraId="36AB3F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5年合同到期后，4000支郎特高光效灯管全部</w:t>
      </w:r>
      <w:r>
        <w:rPr>
          <w:rFonts w:ascii="Arial" w:hAnsi="Arial" w:eastAsia="等线" w:cs="Arial"/>
          <w:b/>
          <w:sz w:val="22"/>
        </w:rPr>
        <w:t>无偿移交甲方</w:t>
      </w:r>
      <w:r>
        <w:rPr>
          <w:rFonts w:ascii="Arial" w:hAnsi="Arial" w:eastAsia="等线" w:cs="Arial"/>
          <w:sz w:val="22"/>
        </w:rPr>
        <w:t>，设备剩余使用寿命仍可达3年以上，甲方永久独享全部节能收益，乙方仅提供成本价维保服务。</w:t>
      </w:r>
    </w:p>
    <w:p w14:paraId="5F13B57F">
      <w:pPr>
        <w:spacing w:before="380" w:after="140" w:line="288" w:lineRule="auto"/>
        <w:ind w:left="0"/>
        <w:jc w:val="left"/>
        <w:outlineLvl w:val="0"/>
      </w:pPr>
      <w:bookmarkStart w:id="22" w:name="heading_22"/>
      <w:r>
        <w:rPr>
          <w:rFonts w:ascii="Arial" w:hAnsi="Arial" w:eastAsia="等线" w:cs="Arial"/>
          <w:b/>
          <w:sz w:val="36"/>
        </w:rPr>
        <w:t>六、双方权利与义务</w:t>
      </w:r>
      <w:bookmarkEnd w:id="22"/>
    </w:p>
    <w:p w14:paraId="6FDC0220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6.1 甲方权利义务</w:t>
      </w:r>
      <w:bookmarkEnd w:id="23"/>
    </w:p>
    <w:p w14:paraId="08A27F07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免费提供施工场地，配合现场勘查、施工、验收工作；</w:t>
      </w:r>
    </w:p>
    <w:p w14:paraId="56C10E38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正常合规使用照明设备，不得私自拆除、改装设备；</w:t>
      </w:r>
    </w:p>
    <w:p w14:paraId="25856890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按时核对节能数据，按合同约定结算分成；</w:t>
      </w:r>
    </w:p>
    <w:p w14:paraId="276CC046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享有合同约定节能收益，全程监督项目施工与运维。</w:t>
      </w:r>
    </w:p>
    <w:p w14:paraId="736FCC4C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6.2 乙方权利义务</w:t>
      </w:r>
      <w:bookmarkEnd w:id="24"/>
    </w:p>
    <w:p w14:paraId="7408D2F9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全额承担项目所有投资、施工、辅材、运输费用；</w:t>
      </w:r>
    </w:p>
    <w:p w14:paraId="5AE4D32F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负责设备安装、调试、验收，确保照度、节能指标达标；</w:t>
      </w:r>
    </w:p>
    <w:p w14:paraId="14DA2E4E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合同期内</w:t>
      </w:r>
      <w:r>
        <w:rPr>
          <w:rFonts w:ascii="Arial" w:hAnsi="Arial" w:eastAsia="等线" w:cs="Arial"/>
          <w:b/>
          <w:sz w:val="22"/>
        </w:rPr>
        <w:t>免费维修、免费更换、免费巡检</w:t>
      </w:r>
      <w:r>
        <w:rPr>
          <w:rFonts w:ascii="Arial" w:hAnsi="Arial" w:eastAsia="等线" w:cs="Arial"/>
          <w:sz w:val="22"/>
        </w:rPr>
        <w:t>，24小时故障响应；</w:t>
      </w:r>
    </w:p>
    <w:p w14:paraId="58D8DB35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按月提供能耗数据报表，配合甲方对账结算；</w:t>
      </w:r>
    </w:p>
    <w:p w14:paraId="5DF7BBD5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合同期满无条件移交全部设备产权。</w:t>
      </w:r>
    </w:p>
    <w:p w14:paraId="64AA6721">
      <w:pPr>
        <w:spacing w:before="380" w:after="140" w:line="288" w:lineRule="auto"/>
        <w:ind w:left="0"/>
        <w:jc w:val="left"/>
        <w:outlineLvl w:val="0"/>
      </w:pPr>
      <w:bookmarkStart w:id="25" w:name="heading_25"/>
      <w:r>
        <w:rPr>
          <w:rFonts w:ascii="Arial" w:hAnsi="Arial" w:eastAsia="等线" w:cs="Arial"/>
          <w:b/>
          <w:sz w:val="36"/>
        </w:rPr>
        <w:t>七、质保与运维保障</w:t>
      </w:r>
      <w:bookmarkEnd w:id="25"/>
    </w:p>
    <w:p w14:paraId="74277BB2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7.1 质保服务</w:t>
      </w:r>
      <w:bookmarkEnd w:id="26"/>
    </w:p>
    <w:p w14:paraId="7BCF8E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本项目郎特科技12W高光效灯管原厂质保5年，覆盖整个EMC合作周期。合同期内任何设备质量问题、光衰超标、故障损坏，乙方无条件免费更换，甲方零费用。</w:t>
      </w:r>
    </w:p>
    <w:p w14:paraId="5B3BC081">
      <w:pPr>
        <w:spacing w:before="320" w:after="120" w:line="288" w:lineRule="auto"/>
        <w:ind w:left="0"/>
        <w:jc w:val="left"/>
        <w:outlineLvl w:val="1"/>
      </w:pPr>
      <w:bookmarkStart w:id="27" w:name="heading_27"/>
      <w:r>
        <w:rPr>
          <w:rFonts w:ascii="Arial" w:hAnsi="Arial" w:eastAsia="等线" w:cs="Arial"/>
          <w:b/>
          <w:sz w:val="32"/>
        </w:rPr>
        <w:t>7.2 常态化运维</w:t>
      </w:r>
      <w:bookmarkEnd w:id="27"/>
    </w:p>
    <w:p w14:paraId="3F94BD55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季度上门巡检：排查隐患、清洁灯具、检测照度与功耗；</w:t>
      </w:r>
    </w:p>
    <w:p w14:paraId="28BC148F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24小时售后响应，48小时内现场修复故障；</w:t>
      </w:r>
    </w:p>
    <w:p w14:paraId="26ADF374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建立专属项目运维档案，全程记录设备运行、能耗、维修数据。</w:t>
      </w:r>
    </w:p>
    <w:p w14:paraId="2FDF93A3">
      <w:pPr>
        <w:spacing w:before="380" w:after="140" w:line="288" w:lineRule="auto"/>
        <w:ind w:left="0"/>
        <w:jc w:val="left"/>
        <w:outlineLvl w:val="0"/>
      </w:pPr>
      <w:bookmarkStart w:id="28" w:name="heading_28"/>
      <w:r>
        <w:rPr>
          <w:rFonts w:ascii="Arial" w:hAnsi="Arial" w:eastAsia="等线" w:cs="Arial"/>
          <w:b/>
          <w:sz w:val="36"/>
        </w:rPr>
        <w:t>八、风险管控</w:t>
      </w:r>
      <w:bookmarkEnd w:id="28"/>
    </w:p>
    <w:p w14:paraId="197F5B87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投资风险</w:t>
      </w:r>
      <w:r>
        <w:rPr>
          <w:rFonts w:ascii="Arial" w:hAnsi="Arial" w:eastAsia="等线" w:cs="Arial"/>
          <w:sz w:val="22"/>
        </w:rPr>
        <w:t>：乙方全额投资，甲方零资金风险；</w:t>
      </w:r>
    </w:p>
    <w:p w14:paraId="3EFD53F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节能风险</w:t>
      </w:r>
      <w:r>
        <w:rPr>
          <w:rFonts w:ascii="Arial" w:hAnsi="Arial" w:eastAsia="等线" w:cs="Arial"/>
          <w:sz w:val="22"/>
        </w:rPr>
        <w:t>：实测节能率稳定60%，若未达标乙方无偿整改、补足收益差额；</w:t>
      </w:r>
    </w:p>
    <w:p w14:paraId="257A6E58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运维风险</w:t>
      </w:r>
      <w:r>
        <w:rPr>
          <w:rFonts w:ascii="Arial" w:hAnsi="Arial" w:eastAsia="等线" w:cs="Arial"/>
          <w:sz w:val="22"/>
        </w:rPr>
        <w:t>：合同期所有维修、更换成本由乙方承担；</w:t>
      </w:r>
    </w:p>
    <w:p w14:paraId="44261CCE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政策风险</w:t>
      </w:r>
      <w:r>
        <w:rPr>
          <w:rFonts w:ascii="Arial" w:hAnsi="Arial" w:eastAsia="等线" w:cs="Arial"/>
          <w:sz w:val="22"/>
        </w:rPr>
        <w:t>：项目符合国家节能减排政策，可协助甲方申报节能补贴。</w:t>
      </w:r>
    </w:p>
    <w:p w14:paraId="256BBF86">
      <w:pPr>
        <w:spacing w:before="380" w:after="140" w:line="288" w:lineRule="auto"/>
        <w:ind w:left="0"/>
        <w:jc w:val="left"/>
        <w:outlineLvl w:val="0"/>
      </w:pPr>
      <w:bookmarkStart w:id="29" w:name="heading_29"/>
      <w:r>
        <w:rPr>
          <w:rFonts w:ascii="Arial" w:hAnsi="Arial" w:eastAsia="等线" w:cs="Arial"/>
          <w:b/>
          <w:sz w:val="36"/>
        </w:rPr>
        <w:t>九、项目实施流程</w:t>
      </w:r>
      <w:bookmarkEnd w:id="29"/>
    </w:p>
    <w:p w14:paraId="481591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现场勘查→方案确认→合同签署→备货进场→错峰施工→调试验收→正式运营→按期分成→期满无偿移交</w:t>
      </w:r>
    </w:p>
    <w:p w14:paraId="66230AFB">
      <w:pPr>
        <w:spacing w:before="380" w:after="140" w:line="288" w:lineRule="auto"/>
        <w:ind w:left="0"/>
        <w:jc w:val="left"/>
        <w:outlineLvl w:val="0"/>
      </w:pPr>
      <w:bookmarkStart w:id="30" w:name="heading_30"/>
      <w:r>
        <w:rPr>
          <w:rFonts w:ascii="Arial" w:hAnsi="Arial" w:eastAsia="等线" w:cs="Arial"/>
          <w:b/>
          <w:sz w:val="36"/>
        </w:rPr>
        <w:t>十、项目总结</w:t>
      </w:r>
      <w:bookmarkEnd w:id="30"/>
    </w:p>
    <w:p w14:paraId="0AD64C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本项目以</w:t>
      </w:r>
      <w:r>
        <w:rPr>
          <w:rFonts w:ascii="Arial" w:hAnsi="Arial" w:eastAsia="等线" w:cs="Arial"/>
          <w:b/>
          <w:sz w:val="22"/>
        </w:rPr>
        <w:t>16元/支低成本高光效灯管</w:t>
      </w:r>
      <w:r>
        <w:rPr>
          <w:rFonts w:ascii="Arial" w:hAnsi="Arial" w:eastAsia="等线" w:cs="Arial"/>
          <w:sz w:val="22"/>
        </w:rPr>
        <w:t>完成4000支照明节能改造，总投资仅8.32万元，年均节电23.65万度、年省电费近19万元，节能率稳定60%，投资回本周期仅5个多月。依托EMC零投资合作模式，甲方无需任何投入，五年可稳获近40万元纯节能收益，同时彻底解决传统灯具高能耗、高故障、高运维成本痛点，优化现场照明环境，兼具极高的经济效益与绿色社会效益，是低投入、高回报、零风险的优质节能改造项目。</w:t>
      </w:r>
    </w:p>
    <w:p w14:paraId="6846E7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B9E6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138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9"/>
  </w:num>
  <w:num w:numId="9">
    <w:abstractNumId w:val="14"/>
  </w:num>
  <w:num w:numId="10">
    <w:abstractNumId w:val="1"/>
  </w:num>
  <w:num w:numId="11">
    <w:abstractNumId w:val="19"/>
  </w:num>
  <w:num w:numId="12">
    <w:abstractNumId w:val="26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21"/>
  </w:num>
  <w:num w:numId="24">
    <w:abstractNumId w:val="4"/>
  </w:num>
  <w:num w:numId="25">
    <w:abstractNumId w:val="31"/>
  </w:num>
  <w:num w:numId="26">
    <w:abstractNumId w:val="30"/>
  </w:num>
  <w:num w:numId="27">
    <w:abstractNumId w:val="6"/>
  </w:num>
  <w:num w:numId="28">
    <w:abstractNumId w:val="28"/>
  </w:num>
  <w:num w:numId="29">
    <w:abstractNumId w:val="2"/>
  </w:num>
  <w:num w:numId="30">
    <w:abstractNumId w:val="20"/>
  </w:num>
  <w:num w:numId="31">
    <w:abstractNumId w:val="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3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94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2418</Words>
  <Characters>2791</Characters>
  <TotalTime>0</TotalTime>
  <ScaleCrop>false</ScaleCrop>
  <LinksUpToDate>false</LinksUpToDate>
  <CharactersWithSpaces>2818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2026-07-07T08:35:00Z</dcterms:created>
  <dc:creator>Apache POI</dc:creator>
  <cp:lastModifiedBy>吴敏</cp:lastModifiedBy>
  <dcterms:modified xsi:type="dcterms:W3CDTF">2026-07-07T08:37:11Z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{"Label":"1","ContentProducer":"001191110102MACQD9K64010000","ProduceID":"7659702038029667513","ReservedCode1":"","ContentPropagator":"","PropagateID":"","ReservedCode2":""}</vt:lpwstr>
  </property>
  <property fmtid="{D5CDD505-2E9C-101B-9397-08002B2CF9AE}" pid="3" name="KSOProductBuildVer">
    <vt:lpwstr>2052-12.1.0.24034</vt:lpwstr>
  </property>
  <property fmtid="{D5CDD505-2E9C-101B-9397-08002B2CF9AE}" pid="4" name="ICV">
    <vt:lpwstr>E864265490EC485EA19D631676A95065_13</vt:lpwstr>
  </property>
</Properties>
</file>